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Проект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Ространснадзора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_____________ № 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right"/>
              <w:spacing w:line="276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Доклад 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о правоприменительной практик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е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при осуществлении федерального государственного контроля (надзора)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на автомобильном транспорте, городском наземном электрическом транспорте и в дорожном хозяйстве за 2025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год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ind w:firstLine="709"/>
        <w:jc w:val="both"/>
        <w:spacing w:after="0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shd w:val="clear" w:color="auto" w:fill="ffffff"/>
        <w:tabs>
          <w:tab w:val="left" w:pos="3119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Общие положения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shd w:val="clear" w:color="auto" w:fill="ffffff"/>
        <w:tabs>
          <w:tab w:val="left" w:pos="3119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Доклад о правоприменительной практик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при осуществлении федерального государственного контроля (надзора)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 автомобильном транспорте, городском наземном электрическом транспорте и в дорожном хозяйстве за 2025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 подготовлен в соответствии с требованиями Федерального закона от 31.07.2020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(далее – Федеральный закон № 248-ФЗ)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Цели доклада: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обеспечение единства применения органами государственного контроля (надзора) и территориальными органами законодательства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при осуществлении государственного контроля (надзора)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обеспечение доступности сведений о правоприменительной практике органов государственного контроля (надзора) путем их доведения до сведения контролируемых лиц;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проведение анализа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нормативных правовых актов для устранения устаревших, дублирующих и избыточных обязательных требований, устранения избыточных контрольных (надзорных) функций;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повышение результативности и эффективности контрольной (надзорной) деятельности;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Обобщение правоприменительной практики проводится для решения следующих основных задач: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Федеральный государственный контроль (надзор)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(далее – автодорожный надзор)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осуществляется в соотве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ствии с Положением о федеральном государственном контроле (надзоре) на автомобильном транспорте, городском наземном электрическом транспорте и в дорожном хозяйстве, утвержденн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м постановлением Правительства Российской Федерации от 29.06.2021 № 1043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следующими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Межрегиональными территориальными управлениями Федеральной службы по надзору в сфере транспорта по федеральным округам (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далее –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МТУ Ространснадзора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территориальные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органы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tbl>
      <w:tblPr>
        <w:tblStyle w:val="857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3687"/>
        <w:gridCol w:w="5670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МТУ Ространснадзора,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город дислокации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Поднадзорная территория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Центральном  федеральному округу,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Белгородская, Брянская, Владимирская, Воронежская, Ивановская, Калужская, Костромская, Курская, Липецкая,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Московская,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Орловская, Рязанская, Смоленская, Тамбовская,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Тверская, Тульская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Ярославская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Северо-Западному федеральному округу,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Санкт-Петербург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Санкт-Петербург,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Архангельская, Вологодская, Калининградская,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Ленинградская,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Мурманская,  Новгородская, Псковская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Республики Карелия, Коми, Ненецкий АО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Южному федеральному округу,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Ростов-на-Дону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Астраханская, Волгоградская,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Адыгея,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Калмыкия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Крым, г. Севастополь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Донецкая Народная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Луганская Народная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Запорожская область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Херсонская область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61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Приволжскому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едеральному округу,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Кировская,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Нижегородская,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Оренбургская, Пензенская, Самарская, Саратовская,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Ульяновская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Удмуртская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Чувашская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Башкортостан,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Марий Эл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Мордовия, Татарстан,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область, Пермский край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98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Уральскому федеральному округу,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Екатеринбург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Курганская,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Свердловская,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Тюменская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Челябинская области, ХМАО – Югре, ЯНАО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10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Сибирскому федеральному округу,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Новосибирская, Омская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Алтайский край, Республика Алтай,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Кемеровская область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край, Республики Тыва, Хакасия, Томская, Иркутская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Дальневосточному федеральному округу,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Владивосток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Хабаровский, Приморский,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Камчатский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Забайкальский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Амурская,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Сахалинская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Магаданская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Чукотский АО, 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Бурятия, Саха (Якутия), Еврейская АО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МТУ Ространснадзора по Северо-Кавказскому федеральному округу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Нальчик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Кабардино-Балкарская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Чеченская,  Карачаево-Черкесская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Дагестан, Ингушетия, Северная Осетия-Алания, Ставропольский край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Предметом федерального государственного контроля (надзора) на автомобильном транспорте, городском наземном электрическом транспорте и в дорожном хозяйстве является соблюдение: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1) обязательных требований, установленных частью 2 статьи 5, статьями 6 и 7, частями 1 и 2 статьи 8, частями 1 и 2 статьи 18, статьями 21.1 и 27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2) лицензионных требований к деятельности по перевозке пассажиров и иных лиц автобусами;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3) обязательных требований к перевозкам опасных и скоропортящихся грузов;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4) обязательных требований к осуществлению: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проезда по автомобильным дорогам общего пользования федерального значения транспортных средств, имеющих разрешенную максимальную массу свыше 12 тонн;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б) движения тяжеловесных и крупногабаритных транспортных средств (весового и габаритного контроля);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проезда транспортных средств 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г) эксплуатации объектов дорожного сервиса, размещенных в полосах отвода и (или) придорожных полосах автомобильных дорог общего пользования федерального значения;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работ по капитальному ремонту, ремонту и содержанию автомобильных дорог общего пользования федерального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автомобильных дорог;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5) обязательных требований в области организации регулярных перевозок: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к наличию карт маршрутов регулярных перевозок у перевозчиков и водителей транспортных средств;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б) к соответствию характеристик транспортного средства сведениям, указанным в карте маршрута регулярных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в) к порядку посадки пассажиров в транспортные средства и высадки пассажиров из транспортных средств;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г) к оборудованию объектов транспортной инфраструктуры, предназначенных для обслуживания пассажиров межрегиональных маршрутов регулярных перевозок (автовокзалов, автостанций, остановочных пунктов);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д) к выполнению предусмотренных расписанием рейсов по межрегиональному маршруту регулярных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е)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6) обязательных требований в области международных автомобильных перевозок, каботажных автомобильных перевозок: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к транспортным средствам, используемым для осуществления международных автомобильных перевозок, каботажных автомобильных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к наличию и соответствию оформления (заполнения) документов, которые требуются для осуществления международных автомобильных перевозок, каботажных автомобильных перевозок (разрешений, учетных талонов, уведомлений, товарно-транспортных накладных и других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документов);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в) к отличительным знакам государства, на территории которого зарегистрировано транспортное средство;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г) к перевозке пассажиров автобусами;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д) к работе экипажей транспортных средств, в том числе в части соблюдения режима труда и отдыха водителей, а также соответствия контрольных устройств регистрации режима труда и отдыха водителей (тахографов);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е) к транзитным перевозкам, в том числе перевозкам отдельных видов сельскохозяйственной продукции, сырья, продовольствия и отдельных видов товаров;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7) обязательных требований к использованию средств навигации при осуществлении перевозок пассажиров и грузов;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8) обязательных требований, предъявляемых к юридическим лицам и индивидуальным предпринимателям, осуществляющим эксплуатацию транспортных средств: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к организации работы водителей транспортных средств в соответствии с требованиями к обеспечению безопасности дорожного движения путем: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проведения стажировки водителей;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проведения соответствующих инструктажей водителей в целях обеспечения их оперативной информацией по обеспечению безопасной перевозки;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повышения квалификации и профессионального мастерства водителей;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к организации мероприятий по соблюдению установленного законодательством Российской Федерации режима труда и отдыха водителей, проверяемого в стационарных и передвижных контрольных пунктах, в местах посадки и (или) высадки пассажиров, установленных закон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дательством Российской Федерации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каботажных автом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обильных перевозок, а также по месту нахождения контролируемых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в) к организации проведения мероприятий по устранению причин, способствующих совершению дорожно-транспортных происшествий и нарушений правил дорожного движения с участием принадлежащих им транспортных средств;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к организации мероприятий по проведению обязательных медицинских осмотров водителей транспортных средств, предусмотренных законодательством Российской Федерации, а также мероприятий по совершенствованию водителями навыков оказания первой помощи пострадав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шим в дорожно-транспортных происшествиях;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д) к осуществлению технического обслуживания транспортных средств в сроки, предусмотренные документацией заводов - изготовителей данных транспортных средств;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к организации мероприятий по оснащению принадлежащих им транспортных средств тахографами в соответствии с законодательством Российской Федерации, проверяемых в стационарных и передвижных контрольных пунктах, в местах посадки и (или) высадки пассажиров, 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тановленных законодательством Российской Федерации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каботажных автомобильных перевозок, а также по месту нахождения контролируемых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обязательных требований, предъявляемых к юридическим лицам и индивидуальным предпринимателям,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зки), а также осуществляющим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к соблюдению правил обеспечения безопасности перевозок автомобильным транспортом и городским наземным электрическим транспортом;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б) к созданию условий для повышения квалификации водителей и других работников автомобильного и городского наземного электрического транспорта, в том числе работников, обеспечивающих безопасность дорожного движения;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к обеспечению стоянки транспортных средств, принадлежащих им на праве собственности или ином законном основании, в границах городских поселений, городских округов, городов федерального значения Москвы, Санкт-Петербурга и Севастополя по возвращении из рей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са и окончании смены водителя на парковках (парковочных местах);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г) к осуществлению технического обслуживания и ремонта транспортных средств, указанных в подпункте "в" настоящего пункта, в соответствии с требованиями, установленными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д) к обеспечению соответствия работников, а также индивидуального предпринимателя при осуществлении им перевозок самостоятельно профессиональным и квалификационным требованиям, предъявляемым при осуществлении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е) к организации мероприятий по проведению предрейсового или предсменного контроля технического состояния транспортных средств;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ж)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10) обязательных требований к обеспечению доступности для инвалидов объектов транспортной инфраструктуры и предоставляемых услуг;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11) обязательных требований к обязательному страхованию гражданской ответственности перевозчика за причинение при перевозках пассажиров вреда их жизни, здоровью, имуществу;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12) обязательных требований пожарной безопасности при эксплуатации автомобильного транспорта и городского наземного электрического транспорта;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3)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ветствии с Федеральным законом от 27 декабря 2002 года N 184-ФЗ "О техническом регулировании";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14) обязательных требований к порядку,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Объектами автодорожного надзора являются: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а)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перевозок, каботажных автомобильных перевозок), в том числе деятельность по организованной пер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по перевозке пассажиров и иных лиц автобусами, подлежащая лицензированию;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по оказанию услуг автовокзалами, автостанциями;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по осуществлению международных автомобильных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по осуществлению каботажных автомобильных перевозок;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еятельность по осуществлению работ по капитальному ремонту, ремонту и содержанию автомобильных дорог общего пользования, а также по размещению владельцами автомобильных дорог общего пользования информации в системе контроля за формированием и использование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м средств дорожных фондов;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по использованию полос отвода и (или) придорожных полос автомобильных дорог общего пользования федерального значения;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б)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внесение платы за проезд 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дорожно-строительные материалы, указанные в приложении N 1 к техническому регламенту Таможенного союза "Безопасность автомобильных дорог" (ТР ТС 014/2011);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дорожно-строительные изделия, указанные в приложении N 2 к техническому регламенту Таможенного союза "Безопасность автомобильных дорог" (ТР ТС 014/2011);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в)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производственные объекты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остановочный пункт, в том числе расположенный на территории автовокзала или автостанции;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транспортное средство;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автомобильная дорога общего пользования федерального значения и искусственные дорожные сооружения на ней;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примыкания к автомобильным дорогам федерального значения, в том числе примыкания объектов дорожного сервиса;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объекты дорожного сервиса, расположенные в границах полос отвода и (или) придорожных полос автомобильных дорог общего пользования федерального значения;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придорожные полосы и полосы отвода автомобильных дорог общего пользования федерального значения.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right="141" w:firstLine="709"/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right="141" w:firstLine="709"/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Профилактическая работа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right="141" w:firstLine="709"/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right="141"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поставленной задачи о перен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акцента работы контрольно-надзорных органов с проверочной на предупредительную 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территориальными органами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Программой 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федерального государственного контроля (надзора)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автомобильного транспорта, городского наземного электрического транспорта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дорожного хозяйства на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утвержденной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Ространснадзора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18.12.2024 № ВБ-453фс «Об утверждении программ профилактики рисков причинения вреда (ущерба) охраняемым законом ценностям на 2025 год»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проведена следующая профилактическая работа.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141"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2195"/>
        <w:gridCol w:w="8730"/>
      </w:tblGrid>
      <w:tr>
        <w:tblPrEx/>
        <w:trPr>
          <w:trHeight w:val="5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проведенных профилактических мероприятий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1050656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информирование (количество фактов размещения информации на официальном сайте контрольного (надзорного) органа)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4821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объявление предостережения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84752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консультирование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958283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самообследование (количество фактов прохождения самообследования на официальном сайте контрольного (надзорного) органа),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самообследований,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профилактический визит,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2745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обязательный профилактический визит, из них: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с выявленными нарушениями обязательных 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</w:rPr>
              <w:t xml:space="preserve">бований,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по результатам которых выдано предписание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профилактический визит по инициативе контролируемого лица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2243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right="141"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аварийности на автомобильном транспорте контролируемых лиц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 данным ГУОБДД МВД РФ в 2025 году было совершено 2 913 ДТП (снижение к АППГ – 4,1 %) по вине водителей автобусов перевозчиков, имеющих лицензию. В указанных ДТП погибло 135 человека (снижение к АППГ– 20,1 %) и ранено 4 489 человека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(снижение к АППГ – 4,3 %). Тяжесть последствий ДТП составила 2,9.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вине водителей трамваев зафиксировано 119 ДТП (рост к АППГ – 10,2 %), в которых погибло 5 человека (снижение к АППГ – 50,0 %) и 129 человек ранено (снижение к АППГ – 26,7 %). Тяжесть последствий ДТП составила 3,7.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вине водителей троллейбусов зафиксировано 237 ДТП (рост к АППГ – 40,2 %), в которых погибло 5 человека (рост к АППГ – 25,0 %), и 248 человек ранено (рост к АППГ – 27,2 %). Тяжесть последствий ДТП составила 2,0.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действия моратория на проведение плановых и внеплановых контрольных мероприятий, установленного постановлением Правительства Российской Федерации от 10.03.2022 № 336 «Об особенностях организации и осуществления государственного контроля (надзора),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контроля» (далее – постановление № 336) органами прокуратуры по фактам ДТП было согласовано проведение Госавтодорнадзором 74 проверок, по результатам которых приняты следующие меры: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66 предписания об устранении нарушений законодательства;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32 материала в органы прокуратуры;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составлено 244 протокола об административных правонарушениях;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80 материалов в суды для привлечения к административной ответственности нарушителей обязательных требований;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вынесено 266 постановлений и решений по административным правонарушениям, из них 102 судами;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вынесено 86 предупреждения;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объявлено 497 предостережений.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наложенных штрафов составила 7 004  тыс. рублей.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по фактам ДТП прокуратурой было инициировано 34 проверки с привлечением 22 должностных лиц Госавтодорнадзора  в качестве специалистов.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426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Результаты контрольно-надзорной деятельности Госавтодорнадзора за 2025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год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ind w:right="141" w:firstLine="426"/>
        <w:jc w:val="both"/>
        <w:spacing w:after="0" w:line="240" w:lineRule="auto"/>
        <w:tabs>
          <w:tab w:val="left" w:pos="709" w:leader="none"/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141" w:firstLine="426"/>
        <w:jc w:val="both"/>
        <w:spacing w:after="0" w:line="240" w:lineRule="auto"/>
        <w:tabs>
          <w:tab w:val="left" w:pos="709" w:leader="none"/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(надзорная) деятельность Госавтодорнадзора в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была организована в соответствии с положениями Федерального закона № 248-ФЗ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141" w:firstLine="426"/>
        <w:jc w:val="both"/>
        <w:spacing w:after="0" w:line="240" w:lineRule="auto"/>
        <w:tabs>
          <w:tab w:val="left" w:pos="709" w:leader="none"/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2195"/>
        <w:gridCol w:w="8730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проведенных контрольных (надзорных) мероприятий с взаимодействием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плановых,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инспекционный визит,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147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документарная проверка,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выездная проверка,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внеплановых,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инспекционный визит,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документарная проверка,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выездная проверка,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1561102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осмотр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753425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опрос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387197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получение письменных объяснений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8033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истребование документов,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368493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290345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инструментальное обследование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43954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проведенных контрольных (надзорных) мероприятий без взаимодействия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39188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выездное обследование,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1250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наблюдение за соблюдением обязательных требований,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37938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20120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контрольных (надзорных) мероприятий, проведенных с использованием средств дистанционного взаимодействия,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с использованием мобильного приложения "Инспектор"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Style w:val="857"/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6255"/>
        <w:gridCol w:w="3958"/>
      </w:tblGrid>
      <w:tr>
        <w:tblPrEx/>
        <w:trPr>
          <w:trHeight w:val="7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5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100461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5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47192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5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рамках постоянного рейда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100031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2195"/>
        <w:gridCol w:w="8730"/>
      </w:tblGrid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83129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32288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204077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деятельность, действия (бездействие) граждан и организаций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результаты деятельности граждан и организаций, в том числе продукция (товары), работы 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производственные объекты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202744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нарушений обязательных требований (по каждому факту нарушения) - всего, в том числе выявленных в рамках: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411027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контрольных (надзорных) мероприятий с взаимодействием,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870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контрольных (надзорных) мероприятий без взаимодействия, из них: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29118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20266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специальных режимов государственного контроля (надзора)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380844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182724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60621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фактов неисполнения предписания контрольного (надзорного) органа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293899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дел об административных правонарушениях, возбужденных по фактам нарушения обязательных требований,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316304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за нарушения обязательных требований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316266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за неисполнение предписания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в отношении субъектов малого и среднего предпринимательства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316604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административное приостановление деятельности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предупреждение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31007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административный штраф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285566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гражданина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239816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должностное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6923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индивидуального предпринимателя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13737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юридическое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25090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Общая сумма наложенных административных штрафов (в тыс. руб.) - всего, в том числе: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5 663,30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гражданина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2491,1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должностное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индивидуального предпринимателя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571,7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на юридическое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2538,6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Общая сумма уплаченных (взысканных) административных штрафов (в тыс. 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3 261,5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141" w:firstLine="0"/>
        <w:jc w:val="both"/>
        <w:spacing w:after="0" w:line="240" w:lineRule="auto"/>
        <w:tabs>
          <w:tab w:val="left" w:pos="709" w:leader="none"/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9"/>
        <w:ind w:left="0" w:right="141" w:firstLine="709"/>
        <w:jc w:val="both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При проведении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 применяются следующие информационные системы:</w:t>
      </w: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 w:val="0"/>
          <w:bCs w:val="0"/>
          <w:color w:val="000000" w:themeColor="text1"/>
        </w:rPr>
      </w:r>
    </w:p>
    <w:p>
      <w:pPr>
        <w:pStyle w:val="859"/>
        <w:ind w:left="0" w:right="141" w:firstLine="709"/>
        <w:jc w:val="both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 -  ИС ГАДН (Информационная система Госавтодорнадзора Единой информационно-аналитической системы Ространснадзора);</w:t>
      </w: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 w:val="0"/>
          <w:bCs w:val="0"/>
          <w:color w:val="000000" w:themeColor="text1"/>
        </w:rPr>
      </w:r>
    </w:p>
    <w:p>
      <w:pPr>
        <w:pStyle w:val="859"/>
        <w:ind w:left="0" w:right="141" w:firstLine="709"/>
        <w:jc w:val="both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  - КИАСК-ТС-РВ (Комплексная информационно-аналитическая система контроля транспортных средств Ространснадзора);</w:t>
      </w: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 w:val="0"/>
          <w:bCs w:val="0"/>
          <w:color w:val="000000" w:themeColor="text1"/>
        </w:rPr>
      </w:r>
    </w:p>
    <w:p>
      <w:pPr>
        <w:pStyle w:val="859"/>
        <w:ind w:left="0" w:right="141" w:firstLine="709"/>
        <w:jc w:val="both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 - СУР (Автоматизированная информационная система управления рисками при осуществлении государственного контроля (надзора) в сфере транспорта);   </w:t>
      </w: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 w:val="0"/>
          <w:bCs w:val="0"/>
          <w:color w:val="000000" w:themeColor="text1"/>
        </w:rPr>
      </w:r>
    </w:p>
    <w:p>
      <w:pPr>
        <w:pStyle w:val="859"/>
        <w:ind w:left="0" w:right="141" w:firstLine="709"/>
        <w:jc w:val="both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 - АИС РПТ (Автоматизированная информационная система регистрации происшествий на транспорте).</w:t>
      </w:r>
      <w:r>
        <w:rPr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859"/>
        <w:ind w:right="141"/>
        <w:jc w:val="center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59"/>
        <w:ind w:right="141"/>
        <w:jc w:val="center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color w:val="000000" w:themeColor="text1"/>
        </w:rPr>
      </w:r>
      <w:bookmarkStart w:id="0" w:name="_Hlk504567102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Механизм досудебного обжалования</w:t>
      </w:r>
      <w:r>
        <w:rPr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59"/>
        <w:ind w:right="141"/>
        <w:jc w:val="center"/>
        <w:spacing w:before="0" w:beforeAutospacing="0" w:after="0" w:afterAutospacing="0"/>
        <w:shd w:val="clear" w:color="auto" w:fill="ffffff"/>
        <w:tabs>
          <w:tab w:val="left" w:pos="3119" w:leader="none"/>
        </w:tabs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ind w:right="141"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28.04.2021 № 663 определен перечень видов федерального государственного контроля (надзора),                в отношении которых обязательный досудебный порядо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рассмотрения жалоб применяется с 1 июля 2021 г. Федеральный государственный контроль (надзор)                      на автомобильном транспорте, городском наземном электрическом транспорте               и в дорожном хозяйстве включен в указанный перечень.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40 Федерального закона от 31.07.2020 № 248-ФЗ «О государственном контроле (надзоре) и муниципальном контроле» обеспечен досудебный порядок рассмотрения жалоб контролируемых лиц исключительно через Единый портал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досудебного обжалования в рамках федерального государственного контроля (надзора) на автомобильном транспорте, городском наземном электрическом транспорте и в дорожном хозяйстве в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поступило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ходатайств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продлении срока ранее выданного предписания,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которым приняты следующие решения: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вынесен отказ в рассмотрении;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удовлетворения;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сроков рассмотрения жалоб на решения контрольного (надзорного) органа, действия (бездействие) его должностных лиц допущено не было.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Низкое количество жалоб может свидетельствовать о соблюдении должностными лицами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территориальных органов при осуществлении автодорожного надзора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31.07.2020 № 248-ФЗ «О государственном контроле (надзоре) и муниципальном контроле» при организации и проведении контрольных (надзорных) мероприятий.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Типичные нарушения обязательных требований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tbl>
      <w:tblPr>
        <w:tblW w:w="1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87"/>
        <w:gridCol w:w="1701"/>
        <w:gridCol w:w="1843"/>
        <w:gridCol w:w="5180"/>
      </w:tblGrid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нарушения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КоАП 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нарушений, 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Факторы и условия, способствующие возникновению указанных нарушений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64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облюдение требований законодательства Российской Федерации о внесении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12.21.3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5 289 734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Умышленное не исполнение требований законодательства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Неисполнение обязанности по внесению платы за проезд транспортного средства по платным автомобильным дорогам, платным участкам автомобильных дорог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12.21.4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1 416 004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Умышленное не исполнение требований законодательства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правил движения тяжеловесного и (или) крупногабаритного транспортного средства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12.21.1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129 462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Умышленное не исполнение требований законодательства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установленных нормативны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 правовыми актами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ч.3 ст.11.23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88 851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ребовательности к подготовке и уровню знаний водительского состава;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Отсутствие контроля со стороны ответственных лиц субъектов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транспор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тным средством без тахографа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тахографа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ч.1 ст.11.23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88 017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ч.6 ст.12.31.1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24 541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контроля со стороны ответственных лиц субъектов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 2 ст. 12.31.1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10 799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Умышленное не исполнение требований законодательства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 3 ст. 12.31.1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10 695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Отсутствие контроля со стороны ответственных лиц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Экономия расходов денежных средств  субъектов;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1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Умышленное не исполнение требований законодательства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567" w:right="567" w:bottom="567" w:left="1134" w:header="567" w:footer="567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Предложения о внесении изменений в законодательство Российской Федерации о государственном контроле (надзоре), муниципальном контроле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В связи с внесенными в Федеральный закон от 31.07.2020 № 248-ФЗ «О государственном контроле (надзоре) и муниципальном контроле в Российской Федерации» изменениями Управление проводит работу по актуализации Положения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о федеральном государственном контроле (надзоре) на автомобильном транспорте,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городском наземном электрическом транспорте и в дорожном хозяйстве, утвержденного постановлением Правительства Российской Федерации от 29.06.2021 № 1043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В тоже время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олагаем целесообразным предусмотреть обязанность контролируемого лица информировать о принятых мерах по устранению причин и условий, способствовавших выдачи предостережения о недопустимости нарушений обязательных требований.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настоящее время отсутствует возможность привлечения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к административной ответственности при поступлении информации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о правонарушении без проведения постоянного рейда, в связи с чем виновное лицо избегает предусмотренной ответственности. Полагаем целесообразным внесение соответствующих изменений в КоАП РФ.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Также требуется внесение изменений в КоАП РФ в части в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недрения механизмов, обеспечивающих неотвратимость наказания иностранных перевозчиков по всем составам, администрируемым Ространснадзором при осуществлении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федерального государственного контроля (надзора)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 автомобильном транспорте, городском наземном электрическом транспорте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в дорожном хозяйстве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  <w:t xml:space="preserve">Кроме того полагаем целесообразным дополнитель КоАП РФ положениями, позволяющими использовать технические средства для перевода при производстве по делам об административных правонарушениях. </w:t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tabs>
          <w:tab w:val="left" w:pos="3119" w:leader="none"/>
        </w:tabs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</w:r>
      <w:r>
        <w:rPr>
          <w:rFonts w:ascii="Times New Roman" w:hAnsi="Times New Roman" w:cs="Times New Roman"/>
          <w:color w:val="ff0000"/>
          <w:sz w:val="28"/>
        </w:rPr>
      </w:r>
      <w:r>
        <w:rPr>
          <w:rFonts w:ascii="Times New Roman" w:hAnsi="Times New Roman" w:cs="Times New Roman"/>
          <w:color w:val="ff0000"/>
          <w:sz w:val="28"/>
        </w:rPr>
      </w:r>
    </w:p>
    <w:sectPr>
      <w:footnotePr/>
      <w:endnotePr/>
      <w:type w:val="nextPage"/>
      <w:pgSz w:w="11906" w:h="16838" w:orient="portrait"/>
      <w:pgMar w:top="1134" w:right="567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6608030"/>
      <w:docPartObj>
        <w:docPartGallery w:val="Page Numbers (Bottom of Page)"/>
        <w:docPartUnique w:val="true"/>
      </w:docPartObj>
      <w:rPr/>
    </w:sdtPr>
    <w:sdtContent>
      <w:p>
        <w:pPr>
          <w:pStyle w:val="86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4"/>
    <w:link w:val="852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1"/>
    <w:next w:val="851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4"/>
    <w:link w:val="681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854"/>
    <w:link w:val="853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6"/>
    <w:uiPriority w:val="99"/>
  </w:style>
  <w:style w:type="character" w:styleId="706">
    <w:name w:val="Footer Char"/>
    <w:basedOn w:val="854"/>
    <w:link w:val="868"/>
    <w:uiPriority w:val="99"/>
  </w:style>
  <w:style w:type="paragraph" w:styleId="707">
    <w:name w:val="Caption"/>
    <w:basedOn w:val="851"/>
    <w:next w:val="85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4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4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4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paragraph" w:styleId="852">
    <w:name w:val="Heading 1"/>
    <w:basedOn w:val="851"/>
    <w:next w:val="851"/>
    <w:link w:val="86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3">
    <w:name w:val="Heading 3"/>
    <w:basedOn w:val="851"/>
    <w:link w:val="858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>
    <w:name w:val="Table Grid"/>
    <w:basedOn w:val="85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Заголовок 3 Знак"/>
    <w:basedOn w:val="854"/>
    <w:link w:val="85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859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List Paragraph"/>
    <w:basedOn w:val="851"/>
    <w:link w:val="861"/>
    <w:uiPriority w:val="34"/>
    <w:qFormat/>
    <w:pPr>
      <w:contextualSpacing/>
      <w:ind w:left="720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1" w:customStyle="1">
    <w:name w:val="Абзац списка Знак"/>
    <w:link w:val="860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2">
    <w:name w:val="Body Text"/>
    <w:basedOn w:val="851"/>
    <w:link w:val="863"/>
    <w:pPr>
      <w:jc w:val="both"/>
      <w:spacing w:before="120" w:after="120" w:line="240" w:lineRule="auto"/>
    </w:pPr>
    <w:rPr>
      <w:rFonts w:ascii="Times New Roman" w:hAnsi="Times New Roman" w:eastAsia="SimSun" w:cs="Times New Roman"/>
      <w:sz w:val="28"/>
      <w:szCs w:val="28"/>
      <w:lang w:eastAsia="zh-CN"/>
    </w:rPr>
  </w:style>
  <w:style w:type="character" w:styleId="863" w:customStyle="1">
    <w:name w:val="Основной текст Знак"/>
    <w:basedOn w:val="854"/>
    <w:link w:val="862"/>
    <w:rPr>
      <w:rFonts w:ascii="Times New Roman" w:hAnsi="Times New Roman" w:eastAsia="SimSun" w:cs="Times New Roman"/>
      <w:sz w:val="28"/>
      <w:szCs w:val="28"/>
      <w:lang w:eastAsia="zh-CN"/>
    </w:rPr>
  </w:style>
  <w:style w:type="character" w:styleId="864">
    <w:name w:val="Hyperlink"/>
    <w:uiPriority w:val="99"/>
    <w:semiHidden/>
    <w:unhideWhenUsed/>
    <w:rPr>
      <w:color w:val="0000ff"/>
      <w:u w:val="single"/>
    </w:rPr>
  </w:style>
  <w:style w:type="character" w:styleId="865" w:customStyle="1">
    <w:name w:val="Заголовок 1 Знак"/>
    <w:basedOn w:val="854"/>
    <w:link w:val="85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6">
    <w:name w:val="Header"/>
    <w:basedOn w:val="85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4"/>
    <w:link w:val="866"/>
    <w:uiPriority w:val="99"/>
  </w:style>
  <w:style w:type="paragraph" w:styleId="868">
    <w:name w:val="Footer"/>
    <w:basedOn w:val="85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4"/>
    <w:link w:val="8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0266-3D95-46D5-BC57-418F2246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Елена Владимировна</dc:creator>
  <cp:lastModifiedBy>ulyanova_ev</cp:lastModifiedBy>
  <cp:revision>7</cp:revision>
  <dcterms:created xsi:type="dcterms:W3CDTF">2025-03-24T06:32:00Z</dcterms:created>
  <dcterms:modified xsi:type="dcterms:W3CDTF">2026-03-10T08:15:08Z</dcterms:modified>
</cp:coreProperties>
</file>